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FD2E47">
        <w:rPr>
          <w:sz w:val="28"/>
          <w:szCs w:val="28"/>
        </w:rPr>
        <w:t>5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  <w:bookmarkStart w:id="0" w:name="_GoBack"/>
      <w:bookmarkEnd w:id="0"/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60711" w:rsidRPr="00493E2B" w:rsidRDefault="00D60711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CF233B" w:rsidRPr="00CF233B" w:rsidRDefault="00CF233B" w:rsidP="00CF233B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CF233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Назначение и применение синтезаторов в передатчиках</w:t>
      </w:r>
      <w:proofErr w:type="gramStart"/>
      <w:r w:rsidRPr="00CF233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.?</w:t>
      </w:r>
      <w:proofErr w:type="gramEnd"/>
    </w:p>
    <w:p w:rsidR="00CF233B" w:rsidRPr="00CF233B" w:rsidRDefault="00CF233B" w:rsidP="00CF233B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CF233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Общие принципы построения синтезаторов частот</w:t>
      </w:r>
      <w:r w:rsidRPr="00CF233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Нарисовать функциональную схему пояснить принцип работы</w:t>
      </w:r>
      <w:proofErr w:type="gramStart"/>
      <w:r w:rsidRPr="00CF233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?</w:t>
      </w:r>
      <w:proofErr w:type="gramEnd"/>
    </w:p>
    <w:p w:rsidR="00CF233B" w:rsidRPr="00CF233B" w:rsidRDefault="00CF233B" w:rsidP="00DA41D2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Цифровые синтезаторы частот  их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</w:t>
      </w:r>
      <w:r w:rsidRPr="00CF233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азначение и отличие </w:t>
      </w:r>
      <w:proofErr w:type="gramStart"/>
      <w:r w:rsidRPr="00CF233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от</w:t>
      </w:r>
      <w:proofErr w:type="gramEnd"/>
      <w:r w:rsidRPr="00CF233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аналоговых </w:t>
      </w:r>
    </w:p>
    <w:p w:rsidR="00CF233B" w:rsidRPr="00CF233B" w:rsidRDefault="00CF233B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0F14" w:rsidRPr="00CF233B" w:rsidRDefault="00DA41D2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6B38A3"/>
    <w:rsid w:val="007A0F14"/>
    <w:rsid w:val="007C1079"/>
    <w:rsid w:val="009C3E63"/>
    <w:rsid w:val="00BA073F"/>
    <w:rsid w:val="00CA6A42"/>
    <w:rsid w:val="00CF233B"/>
    <w:rsid w:val="00D56E9B"/>
    <w:rsid w:val="00D60711"/>
    <w:rsid w:val="00DA41D2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11</cp:revision>
  <dcterms:created xsi:type="dcterms:W3CDTF">2021-01-20T16:48:00Z</dcterms:created>
  <dcterms:modified xsi:type="dcterms:W3CDTF">2021-01-22T07:27:00Z</dcterms:modified>
</cp:coreProperties>
</file>